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10449"/>
        <w:gridCol w:w="323"/>
      </w:tblGrid>
      <w:tr w:rsidR="001C501E" w:rsidRPr="001C501E" w:rsidTr="001C501E">
        <w:trPr>
          <w:tblCellSpacing w:w="0" w:type="dxa"/>
        </w:trPr>
        <w:tc>
          <w:tcPr>
            <w:tcW w:w="4850" w:type="pct"/>
            <w:vAlign w:val="center"/>
            <w:hideMark/>
          </w:tcPr>
          <w:p w:rsidR="001C501E" w:rsidRPr="001C501E" w:rsidRDefault="001C501E" w:rsidP="001C501E">
            <w:pPr>
              <w:spacing w:before="100" w:beforeAutospacing="1" w:after="100" w:afterAutospacing="1" w:line="240" w:lineRule="auto"/>
              <w:ind w:left="424"/>
              <w:jc w:val="center"/>
              <w:outlineLvl w:val="1"/>
              <w:rPr>
                <w:rFonts w:ascii="Arial" w:eastAsia="Times New Roman" w:hAnsi="Arial" w:cs="Arial"/>
                <w:b/>
                <w:bCs/>
                <w:color w:val="FF3100"/>
                <w:sz w:val="34"/>
                <w:szCs w:val="34"/>
                <w:lang w:eastAsia="it-IT"/>
              </w:rPr>
            </w:pPr>
            <w:r w:rsidRPr="001C501E">
              <w:rPr>
                <w:rFonts w:ascii="Arial" w:eastAsia="Times New Roman" w:hAnsi="Arial" w:cs="Arial"/>
                <w:b/>
                <w:bCs/>
                <w:color w:val="FF3100"/>
                <w:sz w:val="34"/>
                <w:szCs w:val="34"/>
                <w:lang w:eastAsia="it-IT"/>
              </w:rPr>
              <w:t>Le Guardie giurate venatorie hanno diritto al porto d'armi</w:t>
            </w:r>
          </w:p>
        </w:tc>
        <w:tc>
          <w:tcPr>
            <w:tcW w:w="150" w:type="pct"/>
            <w:vAlign w:val="center"/>
            <w:hideMark/>
          </w:tcPr>
          <w:p w:rsidR="001C501E" w:rsidRPr="001C501E" w:rsidRDefault="001C501E" w:rsidP="001C501E">
            <w:pPr>
              <w:spacing w:after="0" w:line="240" w:lineRule="auto"/>
              <w:jc w:val="center"/>
              <w:rPr>
                <w:rFonts w:ascii="Times New Roman" w:eastAsia="Times New Roman" w:hAnsi="Times New Roman" w:cs="Times New Roman"/>
                <w:sz w:val="24"/>
                <w:szCs w:val="24"/>
                <w:lang w:eastAsia="it-IT"/>
              </w:rPr>
            </w:pPr>
          </w:p>
        </w:tc>
      </w:tr>
      <w:tr w:rsidR="001C501E" w:rsidRPr="001C501E" w:rsidTr="001C501E">
        <w:trPr>
          <w:tblCellSpacing w:w="0" w:type="dxa"/>
        </w:trPr>
        <w:tc>
          <w:tcPr>
            <w:tcW w:w="4850" w:type="pct"/>
            <w:vAlign w:val="center"/>
            <w:hideMark/>
          </w:tcPr>
          <w:p w:rsidR="001C501E" w:rsidRPr="001C501E" w:rsidRDefault="001C501E" w:rsidP="001C501E">
            <w:pPr>
              <w:spacing w:after="0" w:line="240" w:lineRule="auto"/>
              <w:rPr>
                <w:rFonts w:ascii="Times New Roman" w:eastAsia="Times New Roman" w:hAnsi="Times New Roman" w:cs="Times New Roman"/>
                <w:sz w:val="24"/>
                <w:szCs w:val="24"/>
                <w:lang w:eastAsia="it-IT"/>
              </w:rPr>
            </w:pPr>
            <w:r w:rsidRPr="001C501E">
              <w:rPr>
                <w:rFonts w:ascii="Times New Roman" w:eastAsia="Times New Roman" w:hAnsi="Times New Roman" w:cs="Times New Roman"/>
                <w:sz w:val="24"/>
                <w:szCs w:val="24"/>
                <w:lang w:eastAsia="it-IT"/>
              </w:rPr>
              <w:t> </w:t>
            </w:r>
          </w:p>
        </w:tc>
        <w:tc>
          <w:tcPr>
            <w:tcW w:w="150" w:type="pct"/>
            <w:vAlign w:val="center"/>
            <w:hideMark/>
          </w:tcPr>
          <w:p w:rsidR="001C501E" w:rsidRPr="001C501E" w:rsidRDefault="001C501E" w:rsidP="001C501E">
            <w:pPr>
              <w:spacing w:after="0" w:line="240" w:lineRule="auto"/>
              <w:jc w:val="center"/>
              <w:rPr>
                <w:rFonts w:ascii="Times New Roman" w:eastAsia="Times New Roman" w:hAnsi="Times New Roman" w:cs="Times New Roman"/>
                <w:sz w:val="24"/>
                <w:szCs w:val="24"/>
                <w:lang w:eastAsia="it-IT"/>
              </w:rPr>
            </w:pPr>
          </w:p>
        </w:tc>
      </w:tr>
    </w:tbl>
    <w:p w:rsidR="001C501E" w:rsidRPr="001C501E" w:rsidRDefault="001C501E" w:rsidP="001C501E">
      <w:pPr>
        <w:spacing w:after="0" w:line="240" w:lineRule="auto"/>
        <w:rPr>
          <w:rFonts w:ascii="Times New Roman" w:eastAsia="Times New Roman" w:hAnsi="Times New Roman" w:cs="Times New Roman"/>
          <w:vanish/>
          <w:sz w:val="24"/>
          <w:szCs w:val="24"/>
          <w:lang w:eastAsia="it-IT"/>
        </w:rPr>
      </w:pPr>
    </w:p>
    <w:tbl>
      <w:tblPr>
        <w:tblW w:w="9000" w:type="dxa"/>
        <w:tblCellSpacing w:w="0" w:type="dxa"/>
        <w:tblCellMar>
          <w:left w:w="0" w:type="dxa"/>
          <w:right w:w="0" w:type="dxa"/>
        </w:tblCellMar>
        <w:tblLook w:val="04A0"/>
      </w:tblPr>
      <w:tblGrid>
        <w:gridCol w:w="150"/>
        <w:gridCol w:w="8850"/>
      </w:tblGrid>
      <w:tr w:rsidR="001C501E" w:rsidRPr="001C501E" w:rsidTr="001C501E">
        <w:trPr>
          <w:tblCellSpacing w:w="0" w:type="dxa"/>
        </w:trPr>
        <w:tc>
          <w:tcPr>
            <w:tcW w:w="150" w:type="dxa"/>
            <w:vAlign w:val="center"/>
            <w:hideMark/>
          </w:tcPr>
          <w:p w:rsidR="001C501E" w:rsidRPr="001C501E" w:rsidRDefault="001C501E" w:rsidP="001C501E">
            <w:pPr>
              <w:spacing w:after="0" w:line="240" w:lineRule="auto"/>
              <w:rPr>
                <w:rFonts w:ascii="Times New Roman" w:eastAsia="Times New Roman" w:hAnsi="Times New Roman" w:cs="Times New Roman"/>
                <w:sz w:val="24"/>
                <w:szCs w:val="24"/>
                <w:lang w:eastAsia="it-IT"/>
              </w:rPr>
            </w:pPr>
            <w:r w:rsidRPr="001C501E">
              <w:rPr>
                <w:rFonts w:ascii="Times New Roman" w:eastAsia="Times New Roman" w:hAnsi="Times New Roman" w:cs="Times New Roman"/>
                <w:sz w:val="24"/>
                <w:szCs w:val="24"/>
                <w:lang w:eastAsia="it-IT"/>
              </w:rPr>
              <w:t> </w:t>
            </w:r>
          </w:p>
        </w:tc>
        <w:tc>
          <w:tcPr>
            <w:tcW w:w="0" w:type="auto"/>
            <w:vAlign w:val="center"/>
            <w:hideMark/>
          </w:tcPr>
          <w:p w:rsidR="001C501E" w:rsidRPr="001C501E" w:rsidRDefault="001C501E" w:rsidP="001C501E">
            <w:pPr>
              <w:spacing w:before="100" w:beforeAutospacing="1" w:after="100" w:afterAutospacing="1" w:line="240" w:lineRule="auto"/>
              <w:rPr>
                <w:rFonts w:ascii="Arial" w:eastAsia="Times New Roman" w:hAnsi="Arial" w:cs="Arial"/>
                <w:b/>
                <w:bCs/>
                <w:color w:val="FF0000"/>
                <w:sz w:val="30"/>
                <w:szCs w:val="30"/>
                <w:lang w:eastAsia="it-IT"/>
              </w:rPr>
            </w:pPr>
            <w:r w:rsidRPr="001C501E">
              <w:rPr>
                <w:rFonts w:ascii="Arial" w:eastAsia="Times New Roman" w:hAnsi="Arial" w:cs="Arial"/>
                <w:b/>
                <w:bCs/>
                <w:color w:val="FF0000"/>
                <w:sz w:val="30"/>
                <w:szCs w:val="30"/>
                <w:lang w:eastAsia="it-IT"/>
              </w:rPr>
              <w:t>Consiglio di Stato, sez. I n. 423/2001 del 26 aprile 2001</w:t>
            </w:r>
          </w:p>
          <w:p w:rsidR="001C501E" w:rsidRPr="001C501E" w:rsidRDefault="001C501E" w:rsidP="001C501E">
            <w:pPr>
              <w:spacing w:before="100" w:beforeAutospacing="1" w:after="100" w:afterAutospacing="1" w:line="240" w:lineRule="auto"/>
              <w:rPr>
                <w:rFonts w:ascii="Arial" w:eastAsia="Times New Roman" w:hAnsi="Arial" w:cs="Arial"/>
                <w:b/>
                <w:bCs/>
                <w:color w:val="FF0000"/>
                <w:sz w:val="30"/>
                <w:szCs w:val="30"/>
                <w:lang w:eastAsia="it-IT"/>
              </w:rPr>
            </w:pPr>
            <w:r w:rsidRPr="001C501E">
              <w:rPr>
                <w:rFonts w:ascii="Arial" w:eastAsia="Times New Roman" w:hAnsi="Arial" w:cs="Arial"/>
                <w:b/>
                <w:bCs/>
                <w:color w:val="FF0000"/>
                <w:sz w:val="30"/>
                <w:szCs w:val="30"/>
                <w:lang w:eastAsia="it-IT"/>
              </w:rPr>
              <w:t xml:space="preserve">Parere su ricorso straordinario al Presidente della Repubblica </w:t>
            </w:r>
            <w:r w:rsidRPr="001C501E">
              <w:rPr>
                <w:rFonts w:ascii="Arial" w:eastAsia="Times New Roman" w:hAnsi="Arial" w:cs="Arial"/>
                <w:b/>
                <w:bCs/>
                <w:color w:val="FF0000"/>
                <w:sz w:val="30"/>
                <w:szCs w:val="30"/>
                <w:lang w:eastAsia="it-IT"/>
              </w:rPr>
              <w:br/>
              <w:t xml:space="preserve">(est. Gianpiero Cirillo) </w:t>
            </w:r>
          </w:p>
          <w:p w:rsidR="001C501E" w:rsidRDefault="001C501E" w:rsidP="001C501E">
            <w:pPr>
              <w:spacing w:before="100" w:beforeAutospacing="1" w:after="100" w:afterAutospacing="1" w:line="400" w:lineRule="atLeast"/>
              <w:rPr>
                <w:rFonts w:ascii="Times New Roman" w:eastAsia="Times New Roman" w:hAnsi="Times New Roman" w:cs="Times New Roman"/>
                <w:sz w:val="38"/>
                <w:szCs w:val="38"/>
                <w:lang w:eastAsia="it-IT"/>
              </w:rPr>
            </w:pPr>
            <w:r w:rsidRPr="001C501E">
              <w:rPr>
                <w:rFonts w:ascii="Times New Roman" w:eastAsia="Times New Roman" w:hAnsi="Times New Roman" w:cs="Times New Roman"/>
                <w:sz w:val="38"/>
                <w:szCs w:val="38"/>
                <w:lang w:eastAsia="it-IT"/>
              </w:rPr>
              <w:t>Premesso:</w:t>
            </w:r>
            <w:r w:rsidRPr="001C501E">
              <w:rPr>
                <w:rFonts w:ascii="Times New Roman" w:eastAsia="Times New Roman" w:hAnsi="Times New Roman" w:cs="Times New Roman"/>
                <w:sz w:val="38"/>
                <w:szCs w:val="38"/>
                <w:lang w:eastAsia="it-IT"/>
              </w:rPr>
              <w:br/>
              <w:t xml:space="preserve">Il </w:t>
            </w:r>
            <w:proofErr w:type="spellStart"/>
            <w:r w:rsidRPr="001C501E">
              <w:rPr>
                <w:rFonts w:ascii="Times New Roman" w:eastAsia="Times New Roman" w:hAnsi="Times New Roman" w:cs="Times New Roman"/>
                <w:sz w:val="38"/>
                <w:szCs w:val="38"/>
                <w:lang w:eastAsia="it-IT"/>
              </w:rPr>
              <w:t>sign</w:t>
            </w:r>
            <w:proofErr w:type="spellEnd"/>
            <w:r w:rsidRPr="001C501E">
              <w:rPr>
                <w:rFonts w:ascii="Times New Roman" w:eastAsia="Times New Roman" w:hAnsi="Times New Roman" w:cs="Times New Roman"/>
                <w:sz w:val="38"/>
                <w:szCs w:val="38"/>
                <w:lang w:eastAsia="it-IT"/>
              </w:rPr>
              <w:t xml:space="preserve">. ***, dipendente della </w:t>
            </w:r>
            <w:proofErr w:type="spellStart"/>
            <w:r w:rsidRPr="001C501E">
              <w:rPr>
                <w:rFonts w:ascii="Times New Roman" w:eastAsia="Times New Roman" w:hAnsi="Times New Roman" w:cs="Times New Roman"/>
                <w:sz w:val="38"/>
                <w:szCs w:val="38"/>
                <w:lang w:eastAsia="it-IT"/>
              </w:rPr>
              <w:t>Italcaccia</w:t>
            </w:r>
            <w:proofErr w:type="spellEnd"/>
            <w:r w:rsidRPr="001C501E">
              <w:rPr>
                <w:rFonts w:ascii="Times New Roman" w:eastAsia="Times New Roman" w:hAnsi="Times New Roman" w:cs="Times New Roman"/>
                <w:sz w:val="38"/>
                <w:szCs w:val="38"/>
                <w:lang w:eastAsia="it-IT"/>
              </w:rPr>
              <w:t xml:space="preserve"> con mansioni di guardia ittica per l'espletamento dei servizi per la repressione del bracconaggio, ha chiesto il rinnovo della licenza di porto di pistola per difesa personale, motivando la necessità di andare armato a causa di detta attività svolta con servizi notturni.</w:t>
            </w:r>
            <w:r w:rsidRPr="001C501E">
              <w:rPr>
                <w:rFonts w:ascii="Times New Roman" w:eastAsia="Times New Roman" w:hAnsi="Times New Roman" w:cs="Times New Roman"/>
                <w:sz w:val="38"/>
                <w:szCs w:val="38"/>
                <w:lang w:eastAsia="it-IT"/>
              </w:rPr>
              <w:br/>
              <w:t>Il provvedimento di diniego è motivato nel senso che le motivazioni di cui sopra non sono tali da giustificare l'effettiva necessità di andare armato.</w:t>
            </w:r>
            <w:r w:rsidRPr="001C501E">
              <w:rPr>
                <w:rFonts w:ascii="Times New Roman" w:eastAsia="Times New Roman" w:hAnsi="Times New Roman" w:cs="Times New Roman"/>
                <w:sz w:val="38"/>
                <w:szCs w:val="38"/>
                <w:lang w:eastAsia="it-IT"/>
              </w:rPr>
              <w:br/>
              <w:t>Nel ricorso viene invece dedotta la necessità di svolgere il servizio armato, poiché la Guardia giurata può essere esposta ad azioni di rappresaglia da parte di cittadini.</w:t>
            </w:r>
            <w:r w:rsidRPr="001C501E">
              <w:rPr>
                <w:rFonts w:ascii="Times New Roman" w:eastAsia="Times New Roman" w:hAnsi="Times New Roman" w:cs="Times New Roman"/>
                <w:sz w:val="38"/>
                <w:szCs w:val="38"/>
                <w:lang w:eastAsia="it-IT"/>
              </w:rPr>
              <w:br/>
              <w:t xml:space="preserve">L'amministrazione </w:t>
            </w:r>
            <w:proofErr w:type="spellStart"/>
            <w:r w:rsidRPr="001C501E">
              <w:rPr>
                <w:rFonts w:ascii="Times New Roman" w:eastAsia="Times New Roman" w:hAnsi="Times New Roman" w:cs="Times New Roman"/>
                <w:sz w:val="38"/>
                <w:szCs w:val="38"/>
                <w:lang w:eastAsia="it-IT"/>
              </w:rPr>
              <w:t>controdeduce</w:t>
            </w:r>
            <w:proofErr w:type="spellEnd"/>
            <w:r w:rsidRPr="001C501E">
              <w:rPr>
                <w:rFonts w:ascii="Times New Roman" w:eastAsia="Times New Roman" w:hAnsi="Times New Roman" w:cs="Times New Roman"/>
                <w:sz w:val="38"/>
                <w:szCs w:val="38"/>
                <w:lang w:eastAsia="it-IT"/>
              </w:rPr>
              <w:t>, concludendo per il rigetto del ricorso. Considerato:</w:t>
            </w:r>
            <w:r w:rsidRPr="001C501E">
              <w:rPr>
                <w:rFonts w:ascii="Times New Roman" w:eastAsia="Times New Roman" w:hAnsi="Times New Roman" w:cs="Times New Roman"/>
                <w:sz w:val="38"/>
                <w:szCs w:val="38"/>
                <w:lang w:eastAsia="it-IT"/>
              </w:rPr>
              <w:br/>
              <w:t>Il ricorso è fondato.</w:t>
            </w:r>
            <w:r w:rsidRPr="001C501E">
              <w:rPr>
                <w:rFonts w:ascii="Times New Roman" w:eastAsia="Times New Roman" w:hAnsi="Times New Roman" w:cs="Times New Roman"/>
                <w:sz w:val="38"/>
                <w:szCs w:val="38"/>
                <w:lang w:eastAsia="it-IT"/>
              </w:rPr>
              <w:br/>
              <w:t>La sezione rileva che il provvedimenti impugnato, laddove ritiene che "il motivo originario che aveva giustificato la necessità di andare armato è da considerarsi oggi, di fatto, non più determinante ai fini del rinnovo dell'autorizzazione" e che "le ragioni appena esposte vanno coniugate a generali esigenze di tutela della sicurezza pubblica ravvisabili nella necessità di una revisione dei titoli di polizia che abilitano al porto di pistola, diretta a selezionare i più evidenti casi di dimostrata ed effettiva necessità di difesa personale" non appare adeguatamente motivato.</w:t>
            </w:r>
            <w:r w:rsidRPr="001C501E">
              <w:rPr>
                <w:rFonts w:ascii="Times New Roman" w:eastAsia="Times New Roman" w:hAnsi="Times New Roman" w:cs="Times New Roman"/>
                <w:sz w:val="38"/>
                <w:szCs w:val="38"/>
                <w:lang w:eastAsia="it-IT"/>
              </w:rPr>
              <w:br/>
              <w:t>Infatti non viene dato conto delle ragioni per cui non sarebbe giustificato il porto d'armi da parte del ricorrente, il quale per altro era già in possesso di permesso.</w:t>
            </w:r>
            <w:r w:rsidRPr="001C501E">
              <w:rPr>
                <w:rFonts w:ascii="Times New Roman" w:eastAsia="Times New Roman" w:hAnsi="Times New Roman" w:cs="Times New Roman"/>
                <w:sz w:val="38"/>
                <w:szCs w:val="38"/>
                <w:lang w:eastAsia="it-IT"/>
              </w:rPr>
              <w:br/>
            </w:r>
            <w:r w:rsidRPr="001C501E">
              <w:rPr>
                <w:rFonts w:ascii="Times New Roman" w:eastAsia="Times New Roman" w:hAnsi="Times New Roman" w:cs="Times New Roman"/>
                <w:sz w:val="38"/>
                <w:szCs w:val="38"/>
                <w:lang w:eastAsia="it-IT"/>
              </w:rPr>
              <w:lastRenderedPageBreak/>
              <w:t>Il ricorrente deduce la circostanza, non smentita dall'amministrazione, di svolgere l'attività di guardia ittica per la repressione del bracconaggio, attività che, oltre ad avere una valenza oggettivamente riconducibile ad un servizio pubblico, sembra pienamente giustificare la necessità di andare armato, dato che si può essere esposti ad azioni di rappresaglia e comunque può essere necessario per l'espletamento del servizio.</w:t>
            </w:r>
            <w:r w:rsidRPr="001C501E">
              <w:rPr>
                <w:rFonts w:ascii="Times New Roman" w:eastAsia="Times New Roman" w:hAnsi="Times New Roman" w:cs="Times New Roman"/>
                <w:sz w:val="38"/>
                <w:szCs w:val="38"/>
                <w:lang w:eastAsia="it-IT"/>
              </w:rPr>
              <w:br/>
              <w:t>A fronte di tale circostanza non appare sufficiente la generica contrapposizione da parte dell'amministrazione di una generica revisione dei titoli che abilitano al porto di pistola.</w:t>
            </w:r>
          </w:p>
          <w:p w:rsidR="001C501E" w:rsidRPr="001C501E" w:rsidRDefault="001C501E" w:rsidP="001C501E">
            <w:pPr>
              <w:spacing w:before="100" w:beforeAutospacing="1" w:after="100" w:afterAutospacing="1" w:line="400" w:lineRule="atLeast"/>
              <w:rPr>
                <w:rFonts w:ascii="Times New Roman" w:eastAsia="Times New Roman" w:hAnsi="Times New Roman" w:cs="Times New Roman"/>
                <w:sz w:val="38"/>
                <w:szCs w:val="38"/>
                <w:lang w:eastAsia="it-IT"/>
              </w:rPr>
            </w:pPr>
            <w:r w:rsidRPr="001C501E">
              <w:rPr>
                <w:rFonts w:ascii="Times New Roman" w:eastAsia="Times New Roman" w:hAnsi="Times New Roman" w:cs="Times New Roman"/>
                <w:sz w:val="38"/>
                <w:szCs w:val="38"/>
                <w:lang w:eastAsia="it-IT"/>
              </w:rPr>
              <w:br/>
              <w:t>Pertanto i</w:t>
            </w:r>
            <w:r>
              <w:rPr>
                <w:rFonts w:ascii="Times New Roman" w:eastAsia="Times New Roman" w:hAnsi="Times New Roman" w:cs="Times New Roman"/>
                <w:sz w:val="38"/>
                <w:szCs w:val="38"/>
                <w:lang w:eastAsia="it-IT"/>
              </w:rPr>
              <w:t>l</w:t>
            </w:r>
            <w:r w:rsidRPr="001C501E">
              <w:rPr>
                <w:rFonts w:ascii="Times New Roman" w:eastAsia="Times New Roman" w:hAnsi="Times New Roman" w:cs="Times New Roman"/>
                <w:sz w:val="38"/>
                <w:szCs w:val="38"/>
                <w:lang w:eastAsia="it-IT"/>
              </w:rPr>
              <w:t xml:space="preserve"> ricorso va accolto. </w:t>
            </w:r>
          </w:p>
        </w:tc>
      </w:tr>
    </w:tbl>
    <w:p w:rsidR="006B29C4" w:rsidRDefault="006B29C4" w:rsidP="001C501E"/>
    <w:sectPr w:rsidR="006B29C4" w:rsidSect="001C501E">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1"/>
  <w:proofState w:spelling="clean"/>
  <w:defaultTabStop w:val="708"/>
  <w:hyphenationZone w:val="283"/>
  <w:drawingGridHorizontalSpacing w:val="110"/>
  <w:displayHorizontalDrawingGridEvery w:val="2"/>
  <w:characterSpacingControl w:val="doNotCompress"/>
  <w:compat/>
  <w:rsids>
    <w:rsidRoot w:val="001C501E"/>
    <w:rsid w:val="001C501E"/>
    <w:rsid w:val="006B29C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B29C4"/>
  </w:style>
  <w:style w:type="paragraph" w:styleId="Titolo2">
    <w:name w:val="heading 2"/>
    <w:basedOn w:val="Normale"/>
    <w:link w:val="Titolo2Carattere"/>
    <w:uiPriority w:val="9"/>
    <w:qFormat/>
    <w:rsid w:val="001C501E"/>
    <w:pPr>
      <w:spacing w:before="100" w:beforeAutospacing="1" w:after="100" w:afterAutospacing="1" w:line="240" w:lineRule="auto"/>
      <w:outlineLvl w:val="1"/>
    </w:pPr>
    <w:rPr>
      <w:rFonts w:ascii="Arial" w:eastAsia="Times New Roman" w:hAnsi="Arial" w:cs="Arial"/>
      <w:color w:val="000000"/>
      <w:sz w:val="38"/>
      <w:szCs w:val="3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1C501E"/>
    <w:rPr>
      <w:rFonts w:ascii="Arial" w:eastAsia="Times New Roman" w:hAnsi="Arial" w:cs="Arial"/>
      <w:color w:val="000000"/>
      <w:sz w:val="38"/>
      <w:szCs w:val="38"/>
      <w:lang w:eastAsia="it-IT"/>
    </w:rPr>
  </w:style>
  <w:style w:type="paragraph" w:customStyle="1" w:styleId="testo">
    <w:name w:val="testo"/>
    <w:basedOn w:val="Normale"/>
    <w:rsid w:val="001C501E"/>
    <w:pPr>
      <w:spacing w:before="100" w:beforeAutospacing="1" w:after="100" w:afterAutospacing="1" w:line="400" w:lineRule="atLeast"/>
      <w:jc w:val="both"/>
    </w:pPr>
    <w:rPr>
      <w:rFonts w:ascii="Times New Roman" w:eastAsia="Times New Roman" w:hAnsi="Times New Roman" w:cs="Times New Roman"/>
      <w:sz w:val="38"/>
      <w:szCs w:val="38"/>
      <w:lang w:eastAsia="it-IT"/>
    </w:rPr>
  </w:style>
  <w:style w:type="paragraph" w:customStyle="1" w:styleId="standardcolor">
    <w:name w:val="standard_color"/>
    <w:basedOn w:val="Normale"/>
    <w:rsid w:val="001C501E"/>
    <w:pPr>
      <w:spacing w:before="100" w:beforeAutospacing="1" w:after="100" w:afterAutospacing="1" w:line="240" w:lineRule="auto"/>
    </w:pPr>
    <w:rPr>
      <w:rFonts w:ascii="Arial" w:eastAsia="Times New Roman" w:hAnsi="Arial" w:cs="Arial"/>
      <w:b/>
      <w:bCs/>
      <w:color w:val="FF0000"/>
      <w:sz w:val="30"/>
      <w:szCs w:val="30"/>
      <w:lang w:eastAsia="it-IT"/>
    </w:rPr>
  </w:style>
  <w:style w:type="character" w:customStyle="1" w:styleId="navigationdirezioni1">
    <w:name w:val="navigation_direzioni1"/>
    <w:basedOn w:val="Carpredefinitoparagrafo"/>
    <w:rsid w:val="001C501E"/>
    <w:rPr>
      <w:rFonts w:ascii="Verdana" w:hAnsi="Verdana" w:hint="default"/>
      <w:i w:val="0"/>
      <w:iCs w:val="0"/>
      <w:caps w:val="0"/>
      <w:strike w:val="0"/>
      <w:dstrike w:val="0"/>
      <w:color w:val="FF6600"/>
      <w:sz w:val="16"/>
      <w:szCs w:val="16"/>
      <w:u w:val="none"/>
      <w:effect w:val="none"/>
      <w:shd w:val="clear" w:color="auto" w:fill="auto"/>
    </w:rPr>
  </w:style>
  <w:style w:type="paragraph" w:styleId="Testofumetto">
    <w:name w:val="Balloon Text"/>
    <w:basedOn w:val="Normale"/>
    <w:link w:val="TestofumettoCarattere"/>
    <w:uiPriority w:val="99"/>
    <w:semiHidden/>
    <w:unhideWhenUsed/>
    <w:rsid w:val="001C501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50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645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2017</Characters>
  <Application>Microsoft Office Word</Application>
  <DocSecurity>0</DocSecurity>
  <Lines>16</Lines>
  <Paragraphs>4</Paragraphs>
  <ScaleCrop>false</ScaleCrop>
  <Company>TOSHIBA</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1</cp:revision>
  <dcterms:created xsi:type="dcterms:W3CDTF">2009-05-29T17:11:00Z</dcterms:created>
  <dcterms:modified xsi:type="dcterms:W3CDTF">2009-05-29T17:13:00Z</dcterms:modified>
</cp:coreProperties>
</file>